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afterLines="50"/>
        <w:jc w:val="center"/>
        <w:rPr>
          <w:rFonts w:ascii="宋体" w:hAnsi="宋体"/>
          <w:b/>
          <w:color w:val="FF0000"/>
          <w:sz w:val="52"/>
          <w:szCs w:val="52"/>
        </w:rPr>
      </w:pPr>
      <w:r>
        <w:rPr>
          <w:rFonts w:hint="eastAsia" w:ascii="宋体" w:hAnsi="宋体"/>
          <w:b/>
          <w:color w:val="FF0000"/>
          <w:sz w:val="52"/>
          <w:szCs w:val="52"/>
        </w:rPr>
        <w:t>北京科技大学能源与环境工程学院</w:t>
      </w:r>
    </w:p>
    <w:p>
      <w:pPr>
        <w:spacing w:line="460" w:lineRule="exact"/>
        <w:jc w:val="center"/>
        <w:rPr>
          <w:rFonts w:ascii="仿宋_GB2312" w:hAnsi="宋体" w:eastAsia="仿宋_GB2312"/>
          <w:sz w:val="28"/>
        </w:rPr>
      </w:pPr>
      <w:r>
        <w:rPr>
          <w:rFonts w:hint="eastAsia" w:ascii="仿宋_GB2312" w:hAnsi="宋体" w:eastAsia="仿宋_GB2312"/>
          <w:sz w:val="28"/>
        </w:rPr>
        <w:t>能发〔201</w:t>
      </w:r>
      <w:r>
        <w:rPr>
          <w:rFonts w:hint="eastAsia" w:ascii="仿宋_GB2312" w:hAnsi="宋体" w:eastAsia="仿宋_GB2312"/>
          <w:sz w:val="28"/>
          <w:lang w:val="en-US" w:eastAsia="zh-CN"/>
        </w:rPr>
        <w:t>7</w:t>
      </w:r>
      <w:r>
        <w:rPr>
          <w:rFonts w:hint="eastAsia" w:ascii="仿宋_GB2312" w:hAnsi="宋体" w:eastAsia="仿宋_GB2312"/>
          <w:sz w:val="28"/>
        </w:rPr>
        <w:t>〕</w:t>
      </w:r>
      <w:r>
        <w:rPr>
          <w:rFonts w:hint="eastAsia" w:ascii="仿宋_GB2312" w:hAnsi="宋体" w:eastAsia="仿宋_GB2312"/>
          <w:sz w:val="28"/>
          <w:lang w:val="en-US" w:eastAsia="zh-CN"/>
        </w:rPr>
        <w:t>22</w:t>
      </w:r>
      <w:r>
        <w:rPr>
          <w:rFonts w:hint="eastAsia" w:ascii="仿宋_GB2312" w:hAnsi="宋体" w:eastAsia="仿宋_GB2312"/>
          <w:sz w:val="28"/>
        </w:rPr>
        <w:t>号</w:t>
      </w:r>
    </w:p>
    <w:p>
      <w:pPr>
        <w:pStyle w:val="4"/>
        <w:snapToGrid w:val="0"/>
        <w:jc w:val="center"/>
        <w:rPr>
          <w:rFonts w:hint="eastAsia" w:ascii="华文中宋" w:hAnsi="华文中宋" w:eastAsia="华文中宋"/>
          <w:b/>
          <w:sz w:val="32"/>
          <w:szCs w:val="32"/>
        </w:rPr>
      </w:pPr>
      <w:r>
        <w:rPr>
          <w:rFonts w:ascii="华文中宋" w:hAnsi="华文中宋" w:eastAsia="华文中宋"/>
          <w:b/>
          <w:bCs/>
          <w:color w:val="000000"/>
          <w:sz w:val="32"/>
          <w:szCs w:val="32"/>
        </w:rPr>
        <mc:AlternateContent>
          <mc:Choice Requires="wps">
            <w:drawing>
              <wp:anchor distT="0" distB="0" distL="114300" distR="114300" simplePos="0" relativeHeight="251660288" behindDoc="0" locked="0" layoutInCell="1" allowOverlap="1">
                <wp:simplePos x="0" y="0"/>
                <wp:positionH relativeFrom="column">
                  <wp:posOffset>-9525</wp:posOffset>
                </wp:positionH>
                <wp:positionV relativeFrom="paragraph">
                  <wp:posOffset>53340</wp:posOffset>
                </wp:positionV>
                <wp:extent cx="5305425" cy="0"/>
                <wp:effectExtent l="0" t="28575" r="9525" b="28575"/>
                <wp:wrapNone/>
                <wp:docPr id="2" name="直接连接符 1"/>
                <wp:cNvGraphicFramePr/>
                <a:graphic xmlns:a="http://schemas.openxmlformats.org/drawingml/2006/main">
                  <a:graphicData uri="http://schemas.microsoft.com/office/word/2010/wordprocessingShape">
                    <wps:wsp>
                      <wps:cNvCnPr>
                        <a:cxnSpLocks noChangeShapeType="1"/>
                      </wps:cNvCnPr>
                      <wps:spPr bwMode="auto">
                        <a:xfrm>
                          <a:off x="0" y="0"/>
                          <a:ext cx="5305425" cy="0"/>
                        </a:xfrm>
                        <a:prstGeom prst="line">
                          <a:avLst/>
                        </a:prstGeom>
                        <a:noFill/>
                        <a:ln w="57150" cmpd="thickThin">
                          <a:solidFill>
                            <a:srgbClr val="FF0000"/>
                          </a:solidFill>
                          <a:round/>
                        </a:ln>
                        <a:effectLst/>
                      </wps:spPr>
                      <wps:bodyPr/>
                    </wps:wsp>
                  </a:graphicData>
                </a:graphic>
              </wp:anchor>
            </w:drawing>
          </mc:Choice>
          <mc:Fallback>
            <w:pict>
              <v:line id="直接连接符 1" o:spid="_x0000_s1026" o:spt="20" style="position:absolute;left:0pt;margin-left:-0.75pt;margin-top:4.2pt;height:0pt;width:417.75pt;z-index:251660288;mso-width-relative:page;mso-height-relative:page;" filled="f" stroked="t" coordsize="21600,21600" o:gfxdata="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NwEsKTSAAAABgEAAA8AAAAAAAAAAQAg&#10;AAAAIgAAAGRycy9kb3ducmV2LnhtbFBLAQIUABQAAAAIAIdO4kAdCT4X2wEAAHwDAAAOAAAAAAAA&#10;AAEAIAAAACEBAABkcnMvZTJvRG9jLnhtbFBLBQYAAAAABgAGAFkBAABuBQAAAAA=&#10;">
                <v:fill on="f" focussize="0,0"/>
                <v:stroke weight="4.5pt" color="#FF0000" linestyle="thickThin" joinstyle="round"/>
                <v:imagedata o:title=""/>
                <o:lock v:ext="edit" aspectratio="f"/>
              </v:line>
            </w:pict>
          </mc:Fallback>
        </mc:AlternateContent>
      </w:r>
      <w:r>
        <mc:AlternateContent>
          <mc:Choice Requires="wps">
            <w:drawing>
              <wp:anchor distT="0" distB="0" distL="114300" distR="114300" simplePos="0" relativeHeight="251658240" behindDoc="0" locked="0" layoutInCell="1" allowOverlap="1">
                <wp:simplePos x="0" y="0"/>
                <wp:positionH relativeFrom="column">
                  <wp:posOffset>-9525</wp:posOffset>
                </wp:positionH>
                <wp:positionV relativeFrom="paragraph">
                  <wp:posOffset>53340</wp:posOffset>
                </wp:positionV>
                <wp:extent cx="5305425" cy="0"/>
                <wp:effectExtent l="0" t="28575" r="9525" b="28575"/>
                <wp:wrapNone/>
                <wp:docPr id="1" name="Line 3"/>
                <wp:cNvGraphicFramePr/>
                <a:graphic xmlns:a="http://schemas.openxmlformats.org/drawingml/2006/main">
                  <a:graphicData uri="http://schemas.microsoft.com/office/word/2010/wordprocessingShape">
                    <wps:wsp>
                      <wps:cNvCnPr>
                        <a:cxnSpLocks noChangeShapeType="1"/>
                      </wps:cNvCnPr>
                      <wps:spPr bwMode="auto">
                        <a:xfrm>
                          <a:off x="0" y="0"/>
                          <a:ext cx="5305425" cy="0"/>
                        </a:xfrm>
                        <a:prstGeom prst="line">
                          <a:avLst/>
                        </a:prstGeom>
                        <a:noFill/>
                        <a:ln w="57150" cmpd="thickThin">
                          <a:solidFill>
                            <a:srgbClr val="FF0000"/>
                          </a:solidFill>
                          <a:round/>
                        </a:ln>
                        <a:effectLst/>
                      </wps:spPr>
                      <wps:bodyPr/>
                    </wps:wsp>
                  </a:graphicData>
                </a:graphic>
              </wp:anchor>
            </w:drawing>
          </mc:Choice>
          <mc:Fallback>
            <w:pict>
              <v:line id="Line 3" o:spid="_x0000_s1026" o:spt="20" style="position:absolute;left:0pt;margin-left:-0.75pt;margin-top:4.2pt;height:0pt;width:417.75pt;z-index:251658240;mso-width-relative:page;mso-height-relative:page;" filled="f" stroked="t" coordsize="21600,21600" o:gfxdata="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NwEsKTSAAAABgEAAA8AAAAAAAAAAQAgAAAAIgAAAGRycy9kb3ducmV2LnhtbFBLAQIU&#10;ABQAAAAIAIdO4kANdR3jwAEAAHEDAAAOAAAAAAAAAAEAIAAAACEBAABkcnMvZTJvRG9jLnhtbFBL&#10;BQYAAAAABgAGAFkBAABTBQAAAAA=&#10;">
                <v:fill on="f" focussize="0,0"/>
                <v:stroke weight="4.5pt" color="#FF0000" linestyle="thickThin" joinstyle="round"/>
                <v:imagedata o:title=""/>
                <o:lock v:ext="edit" aspectratio="f"/>
              </v:line>
            </w:pict>
          </mc:Fallback>
        </mc:AlternateContent>
      </w:r>
      <w:r>
        <w:rPr>
          <w:rFonts w:hint="eastAsia" w:ascii="华文中宋" w:hAnsi="华文中宋" w:eastAsia="华文中宋"/>
          <w:b/>
          <w:sz w:val="32"/>
          <w:szCs w:val="32"/>
        </w:rPr>
        <w:t>能源与</w:t>
      </w:r>
      <w:r>
        <w:rPr>
          <w:rFonts w:ascii="华文中宋" w:hAnsi="华文中宋" w:eastAsia="华文中宋"/>
          <w:b/>
          <w:sz w:val="32"/>
          <w:szCs w:val="32"/>
        </w:rPr>
        <w:t>环境工程学院</w:t>
      </w:r>
      <w:r>
        <w:rPr>
          <w:rFonts w:hint="eastAsia" w:ascii="华文中宋" w:hAnsi="华文中宋" w:eastAsia="华文中宋"/>
          <w:b/>
          <w:sz w:val="32"/>
          <w:szCs w:val="32"/>
          <w:lang w:eastAsia="zh-CN"/>
        </w:rPr>
        <w:t>本科生课程成绩管理办法</w:t>
      </w:r>
    </w:p>
    <w:p>
      <w:pPr>
        <w:ind w:firstLine="560" w:firstLineChars="200"/>
        <w:rPr>
          <w:rFonts w:hint="eastAsia" w:ascii="仿宋" w:hAnsi="仿宋" w:eastAsia="仿宋" w:cs="仿宋"/>
          <w:sz w:val="28"/>
          <w:szCs w:val="28"/>
        </w:rPr>
      </w:pPr>
      <w:r>
        <w:rPr>
          <w:rFonts w:hint="eastAsia" w:ascii="仿宋" w:hAnsi="仿宋" w:eastAsia="仿宋" w:cs="仿宋"/>
          <w:sz w:val="28"/>
          <w:szCs w:val="28"/>
        </w:rPr>
        <w:t>为做好本科生成绩管理工作，根据《校发[2010]65号 北京科技大学本科生成绩考核及成绩管理办法》、《北京科技大学本科课堂教学工作规范》等文件规定制定本办法。</w:t>
      </w:r>
    </w:p>
    <w:p>
      <w:pPr>
        <w:rPr>
          <w:rFonts w:hint="eastAsia" w:ascii="仿宋" w:hAnsi="仿宋" w:eastAsia="仿宋" w:cs="仿宋"/>
          <w:b/>
          <w:sz w:val="28"/>
          <w:szCs w:val="28"/>
        </w:rPr>
      </w:pPr>
      <w:r>
        <w:rPr>
          <w:rFonts w:hint="eastAsia" w:ascii="仿宋" w:hAnsi="仿宋" w:eastAsia="仿宋" w:cs="仿宋"/>
          <w:b/>
          <w:sz w:val="28"/>
          <w:szCs w:val="28"/>
        </w:rPr>
        <w:t>一、成绩评定</w:t>
      </w:r>
    </w:p>
    <w:p>
      <w:pPr>
        <w:ind w:firstLine="560" w:firstLineChars="200"/>
        <w:rPr>
          <w:rFonts w:hint="eastAsia" w:ascii="仿宋" w:hAnsi="仿宋" w:eastAsia="仿宋" w:cs="仿宋"/>
          <w:sz w:val="28"/>
          <w:szCs w:val="28"/>
        </w:rPr>
      </w:pPr>
      <w:r>
        <w:rPr>
          <w:rFonts w:hint="eastAsia" w:ascii="仿宋" w:hAnsi="仿宋" w:eastAsia="仿宋" w:cs="仿宋"/>
          <w:sz w:val="28"/>
          <w:szCs w:val="28"/>
        </w:rPr>
        <w:t>课程成绩评定实行百分制，满60分即取得相应课程学分，任课教师在开课初将课程考核成绩中的平时成绩和考试成绩两部分占比向学生说明。</w:t>
      </w:r>
    </w:p>
    <w:p>
      <w:pPr>
        <w:rPr>
          <w:rFonts w:hint="eastAsia" w:ascii="仿宋" w:hAnsi="仿宋" w:eastAsia="仿宋" w:cs="仿宋"/>
          <w:b/>
          <w:sz w:val="28"/>
          <w:szCs w:val="28"/>
        </w:rPr>
      </w:pPr>
      <w:r>
        <w:rPr>
          <w:rFonts w:hint="eastAsia" w:ascii="仿宋" w:hAnsi="仿宋" w:eastAsia="仿宋" w:cs="仿宋"/>
          <w:b/>
          <w:sz w:val="28"/>
          <w:szCs w:val="28"/>
        </w:rPr>
        <w:t>二、成绩管理</w:t>
      </w:r>
    </w:p>
    <w:p>
      <w:pPr>
        <w:ind w:firstLine="560" w:firstLineChars="200"/>
        <w:rPr>
          <w:rFonts w:hint="eastAsia" w:ascii="仿宋" w:hAnsi="仿宋" w:eastAsia="仿宋" w:cs="仿宋"/>
          <w:sz w:val="28"/>
          <w:szCs w:val="28"/>
        </w:rPr>
      </w:pPr>
      <w:r>
        <w:rPr>
          <w:rFonts w:hint="eastAsia" w:ascii="仿宋" w:hAnsi="仿宋" w:eastAsia="仿宋" w:cs="仿宋"/>
          <w:sz w:val="28"/>
          <w:szCs w:val="28"/>
        </w:rPr>
        <w:t>课程考试结束一周内，任课教师登录本科教学网“教务管理系统”录入成绩，打印“课程成绩单”并签字，加盖学院公章后交学院存档。学院收到课程成绩单后即可在成绩管理系统中将相应课程审核入库，一旦审核入库后，教师将不能再对课程成绩进行修改。</w:t>
      </w:r>
    </w:p>
    <w:p>
      <w:pPr>
        <w:rPr>
          <w:rFonts w:hint="eastAsia" w:ascii="仿宋" w:hAnsi="仿宋" w:eastAsia="仿宋" w:cs="仿宋"/>
          <w:b/>
          <w:sz w:val="28"/>
          <w:szCs w:val="28"/>
        </w:rPr>
      </w:pPr>
      <w:r>
        <w:rPr>
          <w:rFonts w:hint="eastAsia" w:ascii="仿宋" w:hAnsi="仿宋" w:eastAsia="仿宋" w:cs="仿宋"/>
          <w:b/>
          <w:sz w:val="28"/>
          <w:szCs w:val="28"/>
        </w:rPr>
        <w:t>三、成绩勘误</w:t>
      </w:r>
    </w:p>
    <w:p>
      <w:pPr>
        <w:ind w:firstLine="560" w:firstLineChars="200"/>
        <w:rPr>
          <w:rFonts w:hint="eastAsia" w:ascii="仿宋" w:hAnsi="仿宋" w:eastAsia="仿宋" w:cs="仿宋"/>
          <w:sz w:val="28"/>
          <w:szCs w:val="28"/>
        </w:rPr>
      </w:pPr>
      <w:r>
        <w:rPr>
          <w:rFonts w:hint="eastAsia" w:ascii="仿宋" w:hAnsi="仿宋" w:eastAsia="仿宋" w:cs="仿宋"/>
          <w:sz w:val="28"/>
          <w:szCs w:val="28"/>
        </w:rPr>
        <w:t>成绩审核入库后如要变动，需在教务管理系统中，提交成绩勘误申请，写明勘误原因，打印“课程勘误成绩单”并签字，到学院盖章后交教务处注册中心进行勘误审核。</w:t>
      </w:r>
    </w:p>
    <w:p>
      <w:pPr>
        <w:ind w:firstLine="560" w:firstLineChars="200"/>
        <w:rPr>
          <w:rFonts w:hint="eastAsia" w:ascii="仿宋" w:hAnsi="仿宋" w:eastAsia="仿宋" w:cs="仿宋"/>
          <w:sz w:val="28"/>
          <w:szCs w:val="28"/>
        </w:rPr>
      </w:pPr>
      <w:r>
        <w:rPr>
          <w:rFonts w:hint="eastAsia" w:ascii="仿宋" w:hAnsi="仿宋" w:eastAsia="仿宋" w:cs="仿宋"/>
          <w:sz w:val="28"/>
          <w:szCs w:val="28"/>
        </w:rPr>
        <w:t>如有学生在成绩发布后两周内对课程成绩提出申诉，任课老师应在收到申诉书后两周内给予答复，如需修改成绩，按照成绩勘误流程进行勘误。</w:t>
      </w:r>
    </w:p>
    <w:p>
      <w:pPr>
        <w:rPr>
          <w:rFonts w:hint="eastAsia" w:ascii="仿宋" w:hAnsi="仿宋" w:eastAsia="仿宋" w:cs="仿宋"/>
          <w:b/>
          <w:sz w:val="28"/>
          <w:szCs w:val="28"/>
        </w:rPr>
      </w:pPr>
      <w:r>
        <w:rPr>
          <w:rFonts w:hint="eastAsia" w:ascii="仿宋" w:hAnsi="仿宋" w:eastAsia="仿宋" w:cs="仿宋"/>
          <w:b/>
          <w:sz w:val="28"/>
          <w:szCs w:val="28"/>
        </w:rPr>
        <w:t>四、补考成绩</w:t>
      </w:r>
    </w:p>
    <w:p>
      <w:pPr>
        <w:ind w:firstLine="560" w:firstLineChars="200"/>
        <w:rPr>
          <w:rFonts w:hint="eastAsia" w:ascii="仿宋" w:hAnsi="仿宋" w:eastAsia="仿宋" w:cs="仿宋"/>
          <w:sz w:val="28"/>
          <w:szCs w:val="28"/>
        </w:rPr>
      </w:pPr>
      <w:r>
        <w:rPr>
          <w:rFonts w:hint="eastAsia" w:ascii="仿宋" w:hAnsi="仿宋" w:eastAsia="仿宋" w:cs="仿宋"/>
          <w:sz w:val="28"/>
          <w:szCs w:val="28"/>
        </w:rPr>
        <w:t>必修课有不及格情况，需要在每学期开学初第1~2周内进行补考（以过程考核为主的课程除外），补考由学校、学院统一安排。任课教师在补考结束后一周内，通过本科教学网“教务管理系统”录入课程补考成绩，打印“课程补考成绩单”并签字，加盖学院公章后交学院存档，由学院并审核入库。</w:t>
      </w:r>
    </w:p>
    <w:p>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本办法自颁布之日起执行，由能源与环境工程学院</w:t>
      </w:r>
      <w:r>
        <w:rPr>
          <w:rFonts w:hint="eastAsia" w:ascii="仿宋" w:hAnsi="仿宋" w:eastAsia="仿宋" w:cs="仿宋"/>
          <w:sz w:val="28"/>
          <w:szCs w:val="28"/>
          <w:lang w:eastAsia="zh-CN"/>
        </w:rPr>
        <w:t>教学委员会</w:t>
      </w:r>
      <w:r>
        <w:rPr>
          <w:rFonts w:hint="eastAsia" w:ascii="仿宋" w:hAnsi="仿宋" w:eastAsia="仿宋" w:cs="仿宋"/>
          <w:sz w:val="28"/>
          <w:szCs w:val="28"/>
        </w:rPr>
        <w:t>负责解释。</w:t>
      </w:r>
    </w:p>
    <w:p>
      <w:pPr>
        <w:ind w:firstLine="560" w:firstLineChars="200"/>
        <w:rPr>
          <w:rFonts w:ascii="宋体" w:hAnsi="宋体" w:eastAsia="宋体"/>
          <w:sz w:val="28"/>
          <w:szCs w:val="28"/>
        </w:rPr>
      </w:pPr>
    </w:p>
    <w:p>
      <w:pPr>
        <w:rPr>
          <w:rFonts w:ascii="宋体" w:hAnsi="宋体" w:eastAsia="宋体"/>
          <w:sz w:val="28"/>
          <w:szCs w:val="28"/>
        </w:rPr>
      </w:pPr>
    </w:p>
    <w:p>
      <w:pPr>
        <w:pStyle w:val="9"/>
        <w:widowControl/>
        <w:spacing w:line="480" w:lineRule="exact"/>
        <w:ind w:firstLineChars="150"/>
        <w:jc w:val="right"/>
        <w:rPr>
          <w:rFonts w:ascii="仿宋" w:hAnsi="仿宋" w:eastAsia="仿宋"/>
          <w:sz w:val="28"/>
          <w:szCs w:val="28"/>
        </w:rPr>
      </w:pPr>
      <w:r>
        <w:rPr>
          <w:rFonts w:hint="eastAsia" w:ascii="仿宋" w:hAnsi="仿宋" w:eastAsia="仿宋"/>
          <w:sz w:val="28"/>
          <w:szCs w:val="28"/>
        </w:rPr>
        <w:t>能源与环境工程学院</w:t>
      </w:r>
    </w:p>
    <w:p>
      <w:pPr>
        <w:pStyle w:val="9"/>
        <w:widowControl/>
        <w:spacing w:line="480" w:lineRule="exact"/>
        <w:ind w:firstLineChars="150"/>
        <w:jc w:val="right"/>
        <w:rPr>
          <w:rFonts w:ascii="宋体" w:hAnsi="宋体" w:eastAsia="宋体"/>
          <w:sz w:val="28"/>
          <w:szCs w:val="28"/>
        </w:rPr>
      </w:pPr>
      <w:r>
        <w:rPr>
          <w:rFonts w:hint="eastAsia" w:ascii="仿宋" w:hAnsi="仿宋" w:eastAsia="仿宋"/>
          <w:sz w:val="28"/>
          <w:szCs w:val="28"/>
        </w:rPr>
        <w:t>二〇一</w:t>
      </w:r>
      <w:r>
        <w:rPr>
          <w:rFonts w:hint="eastAsia" w:ascii="仿宋" w:hAnsi="仿宋" w:eastAsia="仿宋"/>
          <w:sz w:val="28"/>
          <w:szCs w:val="28"/>
          <w:lang w:eastAsia="zh-CN"/>
        </w:rPr>
        <w:t>七</w:t>
      </w:r>
      <w:r>
        <w:rPr>
          <w:rFonts w:hint="eastAsia" w:ascii="仿宋" w:hAnsi="仿宋" w:eastAsia="仿宋"/>
          <w:sz w:val="28"/>
          <w:szCs w:val="28"/>
        </w:rPr>
        <w:t>年十</w:t>
      </w:r>
      <w:r>
        <w:rPr>
          <w:rFonts w:hint="eastAsia" w:ascii="仿宋" w:hAnsi="仿宋" w:eastAsia="仿宋"/>
          <w:sz w:val="28"/>
          <w:szCs w:val="28"/>
          <w:lang w:eastAsia="zh-CN"/>
        </w:rPr>
        <w:t>二</w:t>
      </w:r>
      <w:r>
        <w:rPr>
          <w:rFonts w:hint="eastAsia" w:ascii="仿宋" w:hAnsi="仿宋" w:eastAsia="仿宋"/>
          <w:sz w:val="28"/>
          <w:szCs w:val="28"/>
        </w:rPr>
        <w:t>月二十日</w:t>
      </w:r>
    </w:p>
    <w:p>
      <w:pPr>
        <w:rPr>
          <w:rFonts w:ascii="宋体" w:hAnsi="宋体" w:eastAsia="宋体"/>
          <w:sz w:val="28"/>
          <w:szCs w:val="28"/>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宋体"/>
    <w:panose1 w:val="02010600030101010101"/>
    <w:charset w:val="86"/>
    <w:family w:val="auto"/>
    <w:pitch w:val="default"/>
    <w:sig w:usb0="00000000" w:usb1="00000000" w:usb2="00000016" w:usb3="00000000" w:csb0="0004000F" w:csb1="00000000"/>
  </w:font>
  <w:font w:name="等线">
    <w:altName w:val="宋体"/>
    <w:panose1 w:val="00000000000000000000"/>
    <w:charset w:val="86"/>
    <w:family w:val="auto"/>
    <w:pitch w:val="default"/>
    <w:sig w:usb0="00000000" w:usb1="00000000" w:usb2="00000000" w:usb3="00000000" w:csb0="00000000" w:csb1="00000000"/>
  </w:font>
  <w:font w:name="等线">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0000000000000000000"/>
    <w:charset w:val="86"/>
    <w:family w:val="modern"/>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0A1F"/>
    <w:rsid w:val="00011AD7"/>
    <w:rsid w:val="00075D56"/>
    <w:rsid w:val="00124D23"/>
    <w:rsid w:val="00127B87"/>
    <w:rsid w:val="001803C7"/>
    <w:rsid w:val="00266F00"/>
    <w:rsid w:val="00285C56"/>
    <w:rsid w:val="004653C1"/>
    <w:rsid w:val="00492D68"/>
    <w:rsid w:val="004E27F8"/>
    <w:rsid w:val="0052482F"/>
    <w:rsid w:val="006358B6"/>
    <w:rsid w:val="006A0BA3"/>
    <w:rsid w:val="008067DC"/>
    <w:rsid w:val="00831BA7"/>
    <w:rsid w:val="00870F73"/>
    <w:rsid w:val="008C16F3"/>
    <w:rsid w:val="009273EC"/>
    <w:rsid w:val="009D5FB2"/>
    <w:rsid w:val="00A12110"/>
    <w:rsid w:val="00A40F7B"/>
    <w:rsid w:val="00A527E2"/>
    <w:rsid w:val="00AF1398"/>
    <w:rsid w:val="00B404A8"/>
    <w:rsid w:val="00BC0A1F"/>
    <w:rsid w:val="00C64E8C"/>
    <w:rsid w:val="00D7697F"/>
    <w:rsid w:val="00DE3EF8"/>
    <w:rsid w:val="00E80A56"/>
    <w:rsid w:val="00F71CE8"/>
    <w:rsid w:val="00FA0AA6"/>
    <w:rsid w:val="1F8E00F8"/>
    <w:rsid w:val="337F0C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uiPriority w:val="99"/>
    <w:pPr>
      <w:widowControl/>
      <w:spacing w:before="100" w:beforeAutospacing="1" w:after="100" w:afterAutospacing="1"/>
      <w:jc w:val="left"/>
    </w:pPr>
    <w:rPr>
      <w:rFonts w:ascii="宋体" w:hAnsi="宋体" w:cs="宋体"/>
      <w:kern w:val="0"/>
      <w:sz w:val="24"/>
    </w:rPr>
  </w:style>
  <w:style w:type="character" w:customStyle="1" w:styleId="7">
    <w:name w:val="页眉 字符"/>
    <w:basedOn w:val="5"/>
    <w:link w:val="3"/>
    <w:qFormat/>
    <w:uiPriority w:val="99"/>
    <w:rPr>
      <w:sz w:val="18"/>
      <w:szCs w:val="18"/>
    </w:rPr>
  </w:style>
  <w:style w:type="character" w:customStyle="1" w:styleId="8">
    <w:name w:val="页脚 字符"/>
    <w:basedOn w:val="5"/>
    <w:link w:val="2"/>
    <w:qFormat/>
    <w:uiPriority w:val="99"/>
    <w:rPr>
      <w:sz w:val="18"/>
      <w:szCs w:val="18"/>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89</Words>
  <Characters>513</Characters>
  <Lines>4</Lines>
  <Paragraphs>1</Paragraphs>
  <ScaleCrop>false</ScaleCrop>
  <LinksUpToDate>false</LinksUpToDate>
  <CharactersWithSpaces>601</CharactersWithSpaces>
  <Application>WPS Office_10.1.0.7224_F1E327BC-269C-435d-A152-05C5408002CA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2017-12-28T02:06:00Z</dcterms:created>
  <dc:creator>Mo9271</dc:creator>
  <cp:lastModifiedBy>wangjingjing</cp:lastModifiedBy>
  <dcterms:modified xsi:type="dcterms:W3CDTF">2018-03-29T03:07:31Z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